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F102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6</w:t>
      </w:r>
    </w:p>
    <w:p w14:paraId="5DD5BC9D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bookmarkStart w:id="0" w:name="_GoBack"/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"/>
        </w:rPr>
        <w:t>综合评分标准</w:t>
      </w:r>
      <w:bookmarkEnd w:id="0"/>
    </w:p>
    <w:tbl>
      <w:tblPr>
        <w:tblStyle w:val="2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60"/>
        <w:gridCol w:w="1168"/>
        <w:gridCol w:w="5533"/>
      </w:tblGrid>
      <w:tr w14:paraId="6D43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5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F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评分因素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F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A5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评分标准</w:t>
            </w:r>
          </w:p>
        </w:tc>
      </w:tr>
      <w:tr w14:paraId="08CA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28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C7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商务部分</w:t>
            </w:r>
          </w:p>
          <w:p w14:paraId="2DD3D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D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投标报价（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D21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/>
              </w:rPr>
              <w:t>价格标经评审满足本文件要求且在预算范围内的投标人的总报价中，最低价格为评标基准价格，得满分；其他投标人的价格分统一按照下列公式计算：</w:t>
            </w:r>
          </w:p>
          <w:p w14:paraId="15EB7DA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/>
              </w:rPr>
              <w:t>投标报价得分＝（评标基准价/投标报价）×价格分（分值取小数点后两位）。</w:t>
            </w:r>
          </w:p>
        </w:tc>
      </w:tr>
      <w:tr w14:paraId="3CFD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CE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E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技术部分</w:t>
            </w:r>
          </w:p>
          <w:p w14:paraId="2B417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7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工作服务方案</w:t>
            </w:r>
          </w:p>
          <w:p w14:paraId="268EA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分）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C0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、根据投标人提交的总体实施方案，实施方案包括投标人对造价咨询、控制价审核等工作的理解、重难点分析拟投入人力、物力、技术力量及服务内容的理解，具体实施计划、方法、服务流程、服务质量保证措施、成果提交等，评标委员会对总体实施方案进行评价：</w:t>
            </w:r>
          </w:p>
          <w:p w14:paraId="60097FE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评价为优的，得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</w:t>
            </w:r>
          </w:p>
          <w:p w14:paraId="7BC05B7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评价为良的，得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</w:t>
            </w:r>
          </w:p>
          <w:p w14:paraId="510846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评价为一般的，得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</w:t>
            </w:r>
          </w:p>
          <w:p w14:paraId="268A8FC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、根据投标提交的公司组织架构、人员配置情况、内部管理措施、廉洁管理措施、制度保证、资料归档移交等，评标委员会横向对比进行评价：</w:t>
            </w:r>
          </w:p>
          <w:p w14:paraId="3B1673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评价为优的，得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</w:t>
            </w:r>
          </w:p>
          <w:p w14:paraId="2EC0A4E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评价为良的，得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</w:t>
            </w:r>
          </w:p>
          <w:p w14:paraId="7171704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评价为一般的，得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</w:t>
            </w:r>
          </w:p>
        </w:tc>
      </w:tr>
      <w:tr w14:paraId="0DFB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3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8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C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履约能力（40分）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092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1、投标人拟派人员具有高级工程师以上职称证书（通信类、电子信息类、 电气类、智能化类、计算机类等相关专业）；具备咨询工程师（投资）登记证书，专业应包含“电子、信息工程（含通信、广电、信息化）”、软件工程造价师等相关证书的，每提供一个证书得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分，最高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分。</w:t>
            </w:r>
          </w:p>
          <w:p w14:paraId="622452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注：提供证书复印件（同一人员具有多类证书的可重复计分）和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年以来投标人为其连续缴纳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个月的社保证明材料（如：养老保险管理单位出具养老保险证明，加盖养老保险管理单位的公章或电子章）。</w:t>
            </w:r>
          </w:p>
          <w:p w14:paraId="20F568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2、自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日以来，每承担过一项市级或市级以上信息化类项目造价咨询、控制价审核、造价评估评审类服务业绩的得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分，满分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分。</w:t>
            </w:r>
          </w:p>
          <w:p w14:paraId="2ADA836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注：提供合同（加盖公章）及造价咨询、控制价审核、造价评估评审类报告复印件，未提供不得分。</w:t>
            </w:r>
          </w:p>
          <w:p w14:paraId="489E268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3、投标人具有工程咨询单位甲级专业资信证书（业务范围：电子、 信息工程），得 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分；</w:t>
            </w:r>
          </w:p>
          <w:p w14:paraId="706B666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投标人具有软件造价评估机构服务能力等级证书得3分；</w:t>
            </w:r>
          </w:p>
          <w:p w14:paraId="0A117A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投标人具有信息安全服务二级及以上资质（信息安全风险评估和信息系统安全集成），得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分，三级资质得</w:t>
            </w:r>
            <w:r>
              <w:rPr>
                <w:rFonts w:hint="eastAsia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分， 其他不得分；</w:t>
            </w:r>
          </w:p>
          <w:p w14:paraId="7477916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3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注：提供证书复印件并加盖公章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5444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D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C2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分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E3AB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</w:p>
        </w:tc>
      </w:tr>
    </w:tbl>
    <w:p w14:paraId="493E4C3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6DCBAC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注：各单位分值以各评委打分后的算术平均分为依据。</w:t>
      </w:r>
    </w:p>
    <w:p w14:paraId="249B63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5A7B"/>
    <w:rsid w:val="0BE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2025-08-27T09:36:00Z</dcterms:created>
  <dc:creator>放逐N•̀ू</dc:creator>
  <cp:lastModifiedBy>放逐N•̀ू</cp:lastModifiedBy>
  <dcterms:modified xsi:type="dcterms:W3CDTF">2025-08-27T09:36:20Z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A8A336E117034FAAAAF122F15E735255_11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