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E0C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附件5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346"/>
        <w:gridCol w:w="7184"/>
      </w:tblGrid>
      <w:tr w14:paraId="3677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评分项目及分值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评分标准</w:t>
            </w:r>
          </w:p>
        </w:tc>
      </w:tr>
      <w:tr w14:paraId="7B33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供应商报价（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9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价格部分采用基准价法，计算公式如下：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1、有效参选报价：根据参选人的参选报价，经评审，未否决参选的报价为有效参选报价。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、基准价：高于最高限价的为异常高价，低于最高限价50%的为异常低价；去除异常价格后，取剩余评审价格的平均值为基准价；如剔除异常价格后，其余有效参选人评审价格不足2个，则以所有评审价格的平均值作为基准价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3、高于基准价的有效参选报价得分=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0-（该参选报价-基准价）/基准价*100*0.6，扣完为止；低于或等于基准价的有效参选报价得分=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0-（基准价-该参选报价）/基准价*100*0.3，扣完为止。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4、有效参选报价的评审依据：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1）承诺开具增值税专用发票的参选人，有效参选报价以其参选报价的“不含税总价”作为评审依据；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2）不能开具增值税专用发票的参选人，有效参选报价以其参选报价的“含税总价”作为评审依据。</w:t>
            </w:r>
          </w:p>
        </w:tc>
      </w:tr>
      <w:tr w14:paraId="2FC0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供应商业绩（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E2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供应商提供的业绩合同需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包含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企业数字化、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软件开发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业绩合同，每提供一个得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分，满分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分，未提供得0分。并提供业绩合同扫描件相关证明材料。</w:t>
            </w:r>
          </w:p>
        </w:tc>
      </w:tr>
      <w:tr w14:paraId="0E92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供应商资质（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6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1.投标人为安徽省数字化转型服务商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入库企业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 w14:paraId="0A898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2.具有省级及以上政府部门认定的高新技术企业证书；</w:t>
            </w:r>
          </w:p>
          <w:p w14:paraId="6D5B5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3.具有经国际/国家认证的CMMI软件能力成熟度证书。</w:t>
            </w:r>
          </w:p>
          <w:p w14:paraId="09895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注：提供以上1个证书的得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分，满分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分，未提供得0分。并提供证书扫描件相关证明材料。</w:t>
            </w:r>
          </w:p>
        </w:tc>
      </w:tr>
      <w:tr w14:paraId="415B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供应商能力（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4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供应商具有相关的软件产品著作权登记证书，包含“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大数据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CRM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信创”字样的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，每提供一个证书得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分，满分为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分，未提供得0分。并提供软件产品著作权登记证书扫描件相关证明材料。</w:t>
            </w:r>
          </w:p>
        </w:tc>
      </w:tr>
      <w:tr w14:paraId="6BAD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团队人员配置（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0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本项目要求供应商服务人员需具有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以下资质：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1.拟配置的项目经理具有PMP证书；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2.拟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配置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的项目团队人员具有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数字化转型规划师高级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证书；</w:t>
            </w:r>
          </w:p>
          <w:p w14:paraId="0007A9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拟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配置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的团队成员具有系统集成项目管理工程师中级证书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证明材料：按要求提供有效证书扫描件或证明材料，每满足一项得3分，满分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分，未提供得0分。</w:t>
            </w:r>
          </w:p>
          <w:p w14:paraId="235A18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注：以上人员需为供应商正式员工，磋商响应文件中提供近半年内连续三个月的社保参保证明，并加盖公章，未提供或未按要求提供的不得分。</w:t>
            </w:r>
          </w:p>
        </w:tc>
      </w:tr>
      <w:tr w14:paraId="279B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产品功能展示（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8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满足本期软件产品功能，每提供一个功能点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分，满分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分，未提供得0分。并提供软件功能截图证明材料。</w:t>
            </w:r>
          </w:p>
        </w:tc>
      </w:tr>
      <w:tr w14:paraId="615B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方案（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3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3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满足本期项目实施要求，编制服务方案，方案内容包含项目实施计划表、分阶段实施内容、进度保障措施、质量管理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措施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（1）方案满足项目要求，保障措施可行性、安全性、针对性强得10分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（2）方案满足项目要求，保障措施具备可行性、安全性得8分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（3）方案满足项目要求，未提供保障措施得6分；</w:t>
            </w:r>
          </w:p>
          <w:p w14:paraId="6403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（4）未提供方案或方案内容不满足项目要求不得分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  <w:p w14:paraId="07D8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2.售后运维服务方案，针对本项目所涉及的服务内容拟定运维服务方案。</w:t>
            </w:r>
          </w:p>
          <w:p w14:paraId="32B23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（1）售后方案满足项目要求，保障措施可行性、安全性、针对性强得10分；</w:t>
            </w:r>
          </w:p>
          <w:p w14:paraId="292A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（2）售后方案满足项目要求，保障措施具备可行性、安全性得8分；</w:t>
            </w:r>
          </w:p>
          <w:p w14:paraId="4B56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（3）售后方案满足项目要求，未提供保障措施得6分。</w:t>
            </w:r>
          </w:p>
          <w:p w14:paraId="1E06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（4）售后方案不满足项目要求或未提供不得分。</w:t>
            </w:r>
          </w:p>
          <w:p w14:paraId="23227014"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</w:tbl>
    <w:p w14:paraId="24FA471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</w:pPr>
    </w:p>
    <w:p w14:paraId="143F8506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736435-B3D7-4D6A-8A22-D5D833EDF8D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E27AC8-6A23-4BAC-9959-05183B24C7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E3CC0E-1517-46E4-B8E8-9A312D687B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35874">
    <w:pPr>
      <w:tabs>
        <w:tab w:val="left" w:pos="5888"/>
      </w:tabs>
      <w:spacing w:line="174" w:lineRule="auto"/>
      <w:ind w:left="4330"/>
      <w:rPr>
        <w:rFonts w:hint="eastAsia" w:ascii="宋体" w:hAnsi="宋体" w:eastAsia="宋体" w:cs="宋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063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063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pacing w:val="-25"/>
        <w:w w:val="99"/>
        <w:sz w:val="20"/>
        <w:szCs w:val="20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991F7"/>
    <w:multiLevelType w:val="singleLevel"/>
    <w:tmpl w:val="82B991F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21154"/>
    <w:rsid w:val="619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qFormat/>
    <w:uiPriority w:val="0"/>
    <w:pPr>
      <w:spacing w:line="360" w:lineRule="auto"/>
      <w:ind w:firstLine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2025-09-02T09:26:00Z</dcterms:created>
  <dc:creator>放逐N•̀ू</dc:creator>
  <cp:lastModifiedBy>放逐N•̀ू</cp:lastModifiedBy>
  <dcterms:modified xsi:type="dcterms:W3CDTF">2025-09-02T09:26:53Z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82BF41F57208418AAAABBE10C90B14CD_11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