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43F71">
      <w:pPr>
        <w:pStyle w:val="2"/>
        <w:bidi w:val="0"/>
        <w:jc w:val="both"/>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附件4</w:t>
      </w:r>
    </w:p>
    <w:p w14:paraId="777B281B">
      <w:pPr>
        <w:pStyle w:val="2"/>
        <w:bidi w:val="0"/>
        <w:jc w:val="center"/>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评分标准</w:t>
      </w:r>
    </w:p>
    <w:tbl>
      <w:tblPr>
        <w:tblStyle w:val="6"/>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60"/>
        <w:gridCol w:w="1168"/>
        <w:gridCol w:w="5533"/>
      </w:tblGrid>
      <w:tr w14:paraId="6C2A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81" w:type="dxa"/>
            <w:vAlign w:val="center"/>
          </w:tcPr>
          <w:p w14:paraId="6BAF2B52">
            <w:pPr>
              <w:spacing w:line="400" w:lineRule="exact"/>
              <w:jc w:val="center"/>
              <w:rPr>
                <w:b/>
                <w:color w:val="auto"/>
                <w:sz w:val="24"/>
              </w:rPr>
            </w:pPr>
            <w:r>
              <w:rPr>
                <w:rFonts w:hint="eastAsia"/>
                <w:b/>
                <w:color w:val="auto"/>
                <w:sz w:val="24"/>
              </w:rPr>
              <w:t>序号</w:t>
            </w:r>
          </w:p>
        </w:tc>
        <w:tc>
          <w:tcPr>
            <w:tcW w:w="960" w:type="dxa"/>
            <w:vAlign w:val="center"/>
          </w:tcPr>
          <w:p w14:paraId="6C5B5246">
            <w:pPr>
              <w:spacing w:line="400" w:lineRule="exact"/>
              <w:jc w:val="center"/>
              <w:rPr>
                <w:b/>
                <w:color w:val="auto"/>
                <w:sz w:val="24"/>
              </w:rPr>
            </w:pPr>
            <w:r>
              <w:rPr>
                <w:rFonts w:hint="eastAsia"/>
                <w:b/>
                <w:color w:val="auto"/>
                <w:sz w:val="24"/>
              </w:rPr>
              <w:t>评分因素</w:t>
            </w:r>
          </w:p>
        </w:tc>
        <w:tc>
          <w:tcPr>
            <w:tcW w:w="1168" w:type="dxa"/>
            <w:vAlign w:val="center"/>
          </w:tcPr>
          <w:p w14:paraId="5F39B69B">
            <w:pPr>
              <w:spacing w:line="400" w:lineRule="exact"/>
              <w:jc w:val="center"/>
              <w:rPr>
                <w:b/>
                <w:color w:val="auto"/>
                <w:sz w:val="24"/>
              </w:rPr>
            </w:pPr>
            <w:r>
              <w:rPr>
                <w:rFonts w:hint="eastAsia"/>
                <w:b/>
                <w:color w:val="auto"/>
                <w:sz w:val="24"/>
              </w:rPr>
              <w:t>分值</w:t>
            </w:r>
          </w:p>
        </w:tc>
        <w:tc>
          <w:tcPr>
            <w:tcW w:w="5533" w:type="dxa"/>
            <w:vAlign w:val="center"/>
          </w:tcPr>
          <w:p w14:paraId="309A5C84">
            <w:pPr>
              <w:adjustRightInd w:val="0"/>
              <w:snapToGrid w:val="0"/>
              <w:jc w:val="center"/>
              <w:rPr>
                <w:b/>
                <w:color w:val="auto"/>
                <w:sz w:val="24"/>
              </w:rPr>
            </w:pPr>
            <w:r>
              <w:rPr>
                <w:rFonts w:hint="eastAsia"/>
                <w:b/>
                <w:color w:val="auto"/>
                <w:sz w:val="24"/>
              </w:rPr>
              <w:t>评分标准</w:t>
            </w:r>
          </w:p>
        </w:tc>
      </w:tr>
      <w:tr w14:paraId="2016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81" w:type="dxa"/>
            <w:vMerge w:val="restart"/>
            <w:vAlign w:val="center"/>
          </w:tcPr>
          <w:p w14:paraId="01D1D562">
            <w:pPr>
              <w:spacing w:line="400" w:lineRule="exact"/>
              <w:jc w:val="center"/>
              <w:rPr>
                <w:rFonts w:hint="eastAsia" w:eastAsiaTheme="minorEastAsia"/>
                <w:color w:val="auto"/>
                <w:sz w:val="24"/>
                <w:lang w:eastAsia="zh-CN"/>
              </w:rPr>
            </w:pPr>
            <w:r>
              <w:rPr>
                <w:rFonts w:hint="eastAsia"/>
                <w:color w:val="auto"/>
                <w:sz w:val="24"/>
                <w:lang w:val="en-US" w:eastAsia="zh-CN"/>
              </w:rPr>
              <w:t>1</w:t>
            </w:r>
          </w:p>
        </w:tc>
        <w:tc>
          <w:tcPr>
            <w:tcW w:w="960" w:type="dxa"/>
            <w:vMerge w:val="restart"/>
            <w:vAlign w:val="center"/>
          </w:tcPr>
          <w:p w14:paraId="37CDAA68">
            <w:pPr>
              <w:spacing w:line="400" w:lineRule="exact"/>
              <w:jc w:val="center"/>
              <w:rPr>
                <w:rFonts w:hint="eastAsia"/>
                <w:color w:val="auto"/>
                <w:sz w:val="22"/>
              </w:rPr>
            </w:pPr>
            <w:r>
              <w:rPr>
                <w:rFonts w:hint="eastAsia"/>
                <w:color w:val="auto"/>
                <w:sz w:val="22"/>
              </w:rPr>
              <w:t>技术部分</w:t>
            </w:r>
          </w:p>
          <w:p w14:paraId="7C048C73">
            <w:pPr>
              <w:spacing w:line="400" w:lineRule="exact"/>
              <w:jc w:val="center"/>
              <w:rPr>
                <w:color w:val="auto"/>
                <w:sz w:val="22"/>
              </w:rPr>
            </w:pPr>
            <w:r>
              <w:rPr>
                <w:rFonts w:hint="eastAsia"/>
                <w:color w:val="auto"/>
                <w:sz w:val="22"/>
              </w:rPr>
              <w:t>（</w:t>
            </w:r>
            <w:r>
              <w:rPr>
                <w:rFonts w:hint="eastAsia"/>
                <w:color w:val="auto"/>
                <w:sz w:val="22"/>
                <w:lang w:val="en-US" w:eastAsia="zh-CN"/>
              </w:rPr>
              <w:t>90</w:t>
            </w:r>
            <w:r>
              <w:rPr>
                <w:rFonts w:hint="eastAsia"/>
                <w:color w:val="auto"/>
                <w:sz w:val="22"/>
              </w:rPr>
              <w:t>分）</w:t>
            </w:r>
          </w:p>
        </w:tc>
        <w:tc>
          <w:tcPr>
            <w:tcW w:w="1168" w:type="dxa"/>
            <w:vAlign w:val="center"/>
          </w:tcPr>
          <w:p w14:paraId="195A06C2">
            <w:pPr>
              <w:spacing w:line="400" w:lineRule="exact"/>
              <w:jc w:val="center"/>
              <w:rPr>
                <w:rFonts w:hint="eastAsia" w:eastAsiaTheme="minorEastAsia"/>
                <w:color w:val="auto"/>
                <w:sz w:val="22"/>
                <w:lang w:eastAsia="zh-CN"/>
              </w:rPr>
            </w:pPr>
            <w:r>
              <w:rPr>
                <w:rFonts w:hint="eastAsia"/>
                <w:color w:val="auto"/>
                <w:sz w:val="22"/>
                <w:lang w:val="en-US" w:eastAsia="zh-CN"/>
              </w:rPr>
              <w:t>技术服务水平</w:t>
            </w:r>
          </w:p>
          <w:p w14:paraId="2EB9AE19">
            <w:pPr>
              <w:spacing w:line="400" w:lineRule="exact"/>
              <w:jc w:val="center"/>
              <w:rPr>
                <w:color w:val="auto"/>
                <w:sz w:val="22"/>
              </w:rPr>
            </w:pPr>
            <w:r>
              <w:rPr>
                <w:rFonts w:hint="eastAsia"/>
                <w:color w:val="auto"/>
                <w:sz w:val="22"/>
              </w:rPr>
              <w:t>（</w:t>
            </w:r>
            <w:r>
              <w:rPr>
                <w:rFonts w:hint="eastAsia"/>
                <w:color w:val="auto"/>
                <w:sz w:val="22"/>
                <w:lang w:val="en-US" w:eastAsia="zh-CN"/>
              </w:rPr>
              <w:t>40</w:t>
            </w:r>
            <w:r>
              <w:rPr>
                <w:rFonts w:hint="eastAsia"/>
                <w:color w:val="auto"/>
                <w:sz w:val="22"/>
              </w:rPr>
              <w:t>分）</w:t>
            </w:r>
          </w:p>
        </w:tc>
        <w:tc>
          <w:tcPr>
            <w:tcW w:w="5533" w:type="dxa"/>
            <w:vAlign w:val="center"/>
          </w:tcPr>
          <w:p w14:paraId="0428542C">
            <w:pPr>
              <w:keepNext w:val="0"/>
              <w:keepLines w:val="0"/>
              <w:pageBreakBefore w:val="0"/>
              <w:kinsoku/>
              <w:wordWrap/>
              <w:overflowPunct/>
              <w:topLinePunct w:val="0"/>
              <w:bidi w:val="0"/>
              <w:adjustRightInd/>
              <w:snapToGrid/>
              <w:spacing w:line="300" w:lineRule="exact"/>
              <w:textAlignment w:val="auto"/>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一、服务方案（20分）</w:t>
            </w:r>
          </w:p>
          <w:p w14:paraId="1AA3AD79">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业务工作程序合理，有序，明晰，内容涵盖全面，由评标委员会综合评审，得分共分为五个档次：一档得20分，二档得16分，三档得12分，四档得8分，五档得4分，未提供不得分。</w:t>
            </w:r>
          </w:p>
          <w:p w14:paraId="5243B34E">
            <w:pPr>
              <w:keepNext w:val="0"/>
              <w:keepLines w:val="0"/>
              <w:pageBreakBefore w:val="0"/>
              <w:kinsoku/>
              <w:wordWrap/>
              <w:overflowPunct/>
              <w:topLinePunct w:val="0"/>
              <w:bidi w:val="0"/>
              <w:adjustRightInd/>
              <w:snapToGrid/>
              <w:spacing w:line="300" w:lineRule="exact"/>
              <w:textAlignment w:val="auto"/>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二、内部管控制度（20分）</w:t>
            </w:r>
          </w:p>
          <w:p w14:paraId="40EBD488">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1审计质量控制制度</w:t>
            </w:r>
          </w:p>
          <w:p w14:paraId="0DA2400E">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包括审核程序及标准、审计项目复核管理制度等，由评评标委员会综合评审，得分共分为五个档次：一档得10分，二档得8分，三档得6分，四档得4分，五档得2分，未提供不得分。</w:t>
            </w:r>
          </w:p>
          <w:p w14:paraId="06DC98BD">
            <w:pPr>
              <w:keepNext w:val="0"/>
              <w:keepLines w:val="0"/>
              <w:pageBreakBefore w:val="0"/>
              <w:kinsoku/>
              <w:wordWrap/>
              <w:overflowPunct/>
              <w:topLinePunct w:val="0"/>
              <w:bidi w:val="0"/>
              <w:adjustRightInd/>
              <w:snapToGrid/>
              <w:spacing w:line="300" w:lineRule="exact"/>
              <w:ind w:firstLine="420" w:firstLineChars="200"/>
              <w:textAlignment w:val="auto"/>
              <w:rPr>
                <w:color w:val="auto"/>
                <w:sz w:val="22"/>
              </w:rPr>
            </w:pPr>
            <w:r>
              <w:rPr>
                <w:rFonts w:hint="eastAsia" w:ascii="方正仿宋简体" w:hAnsi="方正仿宋简体" w:eastAsia="方正仿宋简体" w:cs="方正仿宋简体"/>
                <w:color w:val="000000"/>
                <w:sz w:val="21"/>
                <w:szCs w:val="21"/>
              </w:rPr>
              <w:t>2. 档案管理制度、廉政监管制度、岗位责任制度等，由评评标委员会综合评审，得分共分为五个档次：一档得10分，二档得8分，三档得6分，四档得4分，五档得2分，未提供不得分。</w:t>
            </w:r>
          </w:p>
        </w:tc>
      </w:tr>
      <w:tr w14:paraId="01F1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81" w:type="dxa"/>
            <w:vMerge w:val="continue"/>
            <w:vAlign w:val="center"/>
          </w:tcPr>
          <w:p w14:paraId="4809C199">
            <w:pPr>
              <w:spacing w:line="400" w:lineRule="exact"/>
              <w:jc w:val="center"/>
              <w:rPr>
                <w:color w:val="auto"/>
                <w:sz w:val="24"/>
              </w:rPr>
            </w:pPr>
          </w:p>
        </w:tc>
        <w:tc>
          <w:tcPr>
            <w:tcW w:w="960" w:type="dxa"/>
            <w:vMerge w:val="continue"/>
            <w:vAlign w:val="center"/>
          </w:tcPr>
          <w:p w14:paraId="571FBF48">
            <w:pPr>
              <w:spacing w:line="400" w:lineRule="exact"/>
              <w:jc w:val="center"/>
              <w:rPr>
                <w:color w:val="auto"/>
                <w:sz w:val="22"/>
              </w:rPr>
            </w:pPr>
          </w:p>
        </w:tc>
        <w:tc>
          <w:tcPr>
            <w:tcW w:w="1168" w:type="dxa"/>
            <w:vAlign w:val="center"/>
          </w:tcPr>
          <w:p w14:paraId="0478EB7E">
            <w:pPr>
              <w:spacing w:line="400" w:lineRule="exact"/>
              <w:jc w:val="center"/>
              <w:rPr>
                <w:color w:val="auto"/>
                <w:sz w:val="22"/>
              </w:rPr>
            </w:pPr>
            <w:r>
              <w:rPr>
                <w:rFonts w:hint="eastAsia" w:ascii="宋体" w:hAnsi="宋体" w:eastAsia="宋体" w:cs="宋体"/>
                <w:color w:val="auto"/>
                <w:sz w:val="21"/>
                <w:szCs w:val="21"/>
              </w:rPr>
              <w:t>履约能力</w:t>
            </w:r>
            <w:r>
              <w:rPr>
                <w:rFonts w:hint="eastAsia" w:ascii="宋体" w:hAnsi="宋体" w:eastAsia="宋体" w:cs="宋体"/>
                <w:color w:val="auto"/>
                <w:sz w:val="21"/>
                <w:szCs w:val="21"/>
                <w:lang w:val="en-US" w:eastAsia="zh-CN"/>
              </w:rPr>
              <w:t>（50分）</w:t>
            </w:r>
          </w:p>
        </w:tc>
        <w:tc>
          <w:tcPr>
            <w:tcW w:w="5533" w:type="dxa"/>
            <w:vAlign w:val="center"/>
          </w:tcPr>
          <w:p w14:paraId="4CCE98BA">
            <w:pPr>
              <w:keepNext w:val="0"/>
              <w:keepLines w:val="0"/>
              <w:pageBreakBefore w:val="0"/>
              <w:kinsoku/>
              <w:wordWrap/>
              <w:overflowPunct/>
              <w:topLinePunct w:val="0"/>
              <w:bidi w:val="0"/>
              <w:adjustRightInd/>
              <w:snapToGrid/>
              <w:spacing w:line="300" w:lineRule="exact"/>
              <w:ind w:firstLine="440" w:firstLineChars="200"/>
              <w:textAlignment w:val="auto"/>
              <w:rPr>
                <w:rFonts w:hint="eastAsia" w:ascii="方正仿宋简体" w:hAnsi="方正仿宋简体" w:eastAsia="方正仿宋简体" w:cs="方正仿宋简体"/>
                <w:color w:val="000000"/>
                <w:sz w:val="21"/>
                <w:szCs w:val="21"/>
                <w:lang w:val="en-US" w:eastAsia="zh-CN"/>
              </w:rPr>
            </w:pPr>
            <w:r>
              <w:rPr>
                <w:rFonts w:hint="eastAsia"/>
                <w:color w:val="auto"/>
                <w:sz w:val="22"/>
                <w:lang w:val="en-US" w:eastAsia="zh-CN"/>
              </w:rPr>
              <w:t>1.</w:t>
            </w:r>
            <w:r>
              <w:rPr>
                <w:rFonts w:hint="eastAsia" w:ascii="方正仿宋简体" w:hAnsi="方正仿宋简体" w:eastAsia="方正仿宋简体" w:cs="方正仿宋简体"/>
                <w:color w:val="000000"/>
                <w:sz w:val="21"/>
                <w:szCs w:val="21"/>
              </w:rPr>
              <w:t>投标</w:t>
            </w:r>
            <w:r>
              <w:rPr>
                <w:rFonts w:hint="eastAsia" w:ascii="方正仿宋简体" w:hAnsi="方正仿宋简体" w:eastAsia="方正仿宋简体" w:cs="方正仿宋简体"/>
                <w:color w:val="000000"/>
                <w:sz w:val="21"/>
                <w:szCs w:val="21"/>
                <w:lang w:eastAsia="zh-CN"/>
              </w:rPr>
              <w:t>人</w:t>
            </w:r>
            <w:r>
              <w:rPr>
                <w:rFonts w:hint="eastAsia" w:ascii="方正仿宋简体" w:hAnsi="方正仿宋简体" w:eastAsia="方正仿宋简体" w:cs="方正仿宋简体"/>
                <w:color w:val="000000"/>
                <w:sz w:val="21"/>
                <w:szCs w:val="21"/>
              </w:rPr>
              <w:t>20</w:t>
            </w:r>
            <w:r>
              <w:rPr>
                <w:rFonts w:hint="eastAsia" w:ascii="方正仿宋简体" w:hAnsi="方正仿宋简体" w:eastAsia="方正仿宋简体" w:cs="方正仿宋简体"/>
                <w:color w:val="000000"/>
                <w:sz w:val="21"/>
                <w:szCs w:val="21"/>
                <w:lang w:val="en-US" w:eastAsia="zh-CN"/>
              </w:rPr>
              <w:t>20</w:t>
            </w:r>
            <w:r>
              <w:rPr>
                <w:rFonts w:hint="eastAsia" w:ascii="方正仿宋简体" w:hAnsi="方正仿宋简体" w:eastAsia="方正仿宋简体" w:cs="方正仿宋简体"/>
                <w:color w:val="000000"/>
                <w:sz w:val="21"/>
                <w:szCs w:val="21"/>
              </w:rPr>
              <w:t>年1月1日以来获得</w:t>
            </w:r>
            <w:r>
              <w:rPr>
                <w:rFonts w:hint="eastAsia" w:ascii="方正仿宋简体" w:hAnsi="方正仿宋简体" w:eastAsia="方正仿宋简体" w:cs="方正仿宋简体"/>
                <w:color w:val="000000"/>
                <w:sz w:val="21"/>
                <w:szCs w:val="21"/>
                <w:lang w:eastAsia="zh-CN"/>
              </w:rPr>
              <w:t>省级</w:t>
            </w:r>
            <w:r>
              <w:rPr>
                <w:rFonts w:hint="eastAsia" w:ascii="方正仿宋简体" w:hAnsi="方正仿宋简体" w:eastAsia="方正仿宋简体" w:cs="方正仿宋简体"/>
                <w:color w:val="000000"/>
                <w:sz w:val="21"/>
                <w:szCs w:val="21"/>
              </w:rPr>
              <w:t>及以上行政主管部门或在国内依法登记注册的行业协会（学会）</w:t>
            </w:r>
            <w:r>
              <w:rPr>
                <w:rFonts w:hint="eastAsia" w:ascii="方正仿宋简体" w:hAnsi="方正仿宋简体" w:eastAsia="方正仿宋简体" w:cs="方正仿宋简体"/>
                <w:color w:val="000000"/>
                <w:sz w:val="21"/>
                <w:szCs w:val="21"/>
                <w:lang w:eastAsia="zh-CN"/>
              </w:rPr>
              <w:t>“优秀企业”称号得</w:t>
            </w:r>
            <w:r>
              <w:rPr>
                <w:rFonts w:hint="eastAsia" w:ascii="方正仿宋简体" w:hAnsi="方正仿宋简体" w:eastAsia="方正仿宋简体" w:cs="方正仿宋简体"/>
                <w:color w:val="000000"/>
                <w:sz w:val="21"/>
                <w:szCs w:val="21"/>
                <w:lang w:val="en-US" w:eastAsia="zh-CN"/>
              </w:rPr>
              <w:t>10分。</w:t>
            </w:r>
          </w:p>
          <w:p w14:paraId="75987D3F">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注：投标时需提供获奖证书复印件并加盖单位公章，未提供不得分。</w:t>
            </w:r>
          </w:p>
          <w:p w14:paraId="227F1B95">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lang w:val="en-US" w:eastAsia="zh-CN"/>
              </w:rPr>
              <w:t>2.</w:t>
            </w:r>
            <w:r>
              <w:rPr>
                <w:rFonts w:hint="eastAsia" w:ascii="方正仿宋简体" w:hAnsi="方正仿宋简体" w:eastAsia="方正仿宋简体" w:cs="方正仿宋简体"/>
                <w:color w:val="000000"/>
                <w:sz w:val="21"/>
                <w:szCs w:val="21"/>
              </w:rPr>
              <w:t>投标人获得</w:t>
            </w:r>
            <w:r>
              <w:rPr>
                <w:rFonts w:hint="eastAsia" w:ascii="方正仿宋简体" w:hAnsi="方正仿宋简体" w:eastAsia="方正仿宋简体" w:cs="方正仿宋简体"/>
                <w:color w:val="000000"/>
                <w:sz w:val="21"/>
                <w:szCs w:val="21"/>
                <w:lang w:eastAsia="zh-CN"/>
              </w:rPr>
              <w:t>省级及以上建设行政主管部门评定的工程造价咨询企业信用评价等级最优的得</w:t>
            </w:r>
            <w:r>
              <w:rPr>
                <w:rFonts w:hint="eastAsia" w:ascii="方正仿宋简体" w:hAnsi="方正仿宋简体" w:eastAsia="方正仿宋简体" w:cs="方正仿宋简体"/>
                <w:color w:val="000000"/>
                <w:sz w:val="21"/>
                <w:szCs w:val="21"/>
                <w:lang w:val="en-US" w:eastAsia="zh-CN"/>
              </w:rPr>
              <w:t>10分，次优的得8分，第三优秀的得5分。</w:t>
            </w:r>
          </w:p>
          <w:p w14:paraId="05287553">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rPr>
              <w:t>注：投标人需提供</w:t>
            </w:r>
            <w:r>
              <w:rPr>
                <w:rFonts w:hint="eastAsia" w:ascii="方正仿宋简体" w:hAnsi="方正仿宋简体" w:eastAsia="方正仿宋简体" w:cs="方正仿宋简体"/>
                <w:color w:val="000000"/>
                <w:sz w:val="21"/>
                <w:szCs w:val="21"/>
                <w:lang w:eastAsia="zh-CN"/>
              </w:rPr>
              <w:t>开标日</w:t>
            </w:r>
            <w:r>
              <w:rPr>
                <w:rFonts w:hint="eastAsia" w:ascii="方正仿宋简体" w:hAnsi="方正仿宋简体" w:eastAsia="方正仿宋简体" w:cs="方正仿宋简体"/>
                <w:color w:val="000000"/>
                <w:sz w:val="21"/>
                <w:szCs w:val="21"/>
                <w:lang w:val="en-US" w:eastAsia="zh-CN"/>
              </w:rPr>
              <w:t>前 1 天内公开可查询</w:t>
            </w:r>
            <w:r>
              <w:rPr>
                <w:rFonts w:hint="eastAsia" w:ascii="方正仿宋简体" w:hAnsi="方正仿宋简体" w:eastAsia="方正仿宋简体" w:cs="方正仿宋简体"/>
                <w:color w:val="000000"/>
                <w:sz w:val="21"/>
                <w:szCs w:val="21"/>
              </w:rPr>
              <w:t>的企业信用</w:t>
            </w:r>
            <w:r>
              <w:rPr>
                <w:rFonts w:hint="eastAsia" w:ascii="方正仿宋简体" w:hAnsi="方正仿宋简体" w:eastAsia="方正仿宋简体" w:cs="方正仿宋简体"/>
                <w:color w:val="000000"/>
                <w:sz w:val="21"/>
                <w:szCs w:val="21"/>
                <w:lang w:eastAsia="zh-CN"/>
              </w:rPr>
              <w:t>评价</w:t>
            </w:r>
            <w:r>
              <w:rPr>
                <w:rFonts w:hint="eastAsia" w:ascii="方正仿宋简体" w:hAnsi="方正仿宋简体" w:eastAsia="方正仿宋简体" w:cs="方正仿宋简体"/>
                <w:color w:val="000000"/>
                <w:sz w:val="21"/>
                <w:szCs w:val="21"/>
              </w:rPr>
              <w:t>等级证</w:t>
            </w:r>
            <w:r>
              <w:rPr>
                <w:rFonts w:hint="eastAsia" w:ascii="方正仿宋简体" w:hAnsi="方正仿宋简体" w:eastAsia="方正仿宋简体" w:cs="方正仿宋简体"/>
                <w:color w:val="000000"/>
                <w:sz w:val="21"/>
                <w:szCs w:val="21"/>
                <w:lang w:val="en-US" w:eastAsia="zh-CN"/>
              </w:rPr>
              <w:t>明</w:t>
            </w:r>
            <w:r>
              <w:rPr>
                <w:rFonts w:hint="eastAsia" w:ascii="方正仿宋简体" w:hAnsi="方正仿宋简体" w:eastAsia="方正仿宋简体" w:cs="方正仿宋简体"/>
                <w:color w:val="000000"/>
                <w:sz w:val="21"/>
                <w:szCs w:val="21"/>
              </w:rPr>
              <w:t>。每个省</w:t>
            </w:r>
            <w:r>
              <w:rPr>
                <w:rFonts w:hint="eastAsia" w:ascii="方正仿宋简体" w:hAnsi="方正仿宋简体" w:eastAsia="方正仿宋简体" w:cs="方正仿宋简体"/>
                <w:color w:val="000000"/>
                <w:sz w:val="21"/>
                <w:szCs w:val="21"/>
                <w:lang w:eastAsia="zh-CN"/>
              </w:rPr>
              <w:t>份</w:t>
            </w:r>
            <w:r>
              <w:rPr>
                <w:rFonts w:hint="eastAsia" w:ascii="方正仿宋简体" w:hAnsi="方正仿宋简体" w:eastAsia="方正仿宋简体" w:cs="方正仿宋简体"/>
                <w:color w:val="000000"/>
                <w:sz w:val="21"/>
                <w:szCs w:val="21"/>
              </w:rPr>
              <w:t>信用分最高级为最优</w:t>
            </w:r>
            <w:r>
              <w:rPr>
                <w:rFonts w:hint="eastAsia" w:ascii="方正仿宋简体" w:hAnsi="方正仿宋简体" w:eastAsia="方正仿宋简体" w:cs="方正仿宋简体"/>
                <w:color w:val="000000"/>
                <w:sz w:val="21"/>
                <w:szCs w:val="21"/>
                <w:lang w:eastAsia="zh-CN"/>
              </w:rPr>
              <w:t>，</w:t>
            </w:r>
            <w:r>
              <w:rPr>
                <w:rFonts w:hint="eastAsia" w:ascii="方正仿宋简体" w:hAnsi="方正仿宋简体" w:eastAsia="方正仿宋简体" w:cs="方正仿宋简体"/>
                <w:color w:val="000000"/>
                <w:sz w:val="21"/>
                <w:szCs w:val="21"/>
              </w:rPr>
              <w:t>次优为第二第三档</w:t>
            </w:r>
            <w:r>
              <w:rPr>
                <w:rFonts w:hint="eastAsia" w:ascii="方正仿宋简体" w:hAnsi="方正仿宋简体" w:eastAsia="方正仿宋简体" w:cs="方正仿宋简体"/>
                <w:color w:val="000000"/>
                <w:sz w:val="21"/>
                <w:szCs w:val="21"/>
                <w:lang w:eastAsia="zh-CN"/>
              </w:rPr>
              <w:t>，</w:t>
            </w:r>
            <w:r>
              <w:rPr>
                <w:rFonts w:hint="eastAsia" w:ascii="方正仿宋简体" w:hAnsi="方正仿宋简体" w:eastAsia="方正仿宋简体" w:cs="方正仿宋简体"/>
                <w:color w:val="000000"/>
                <w:sz w:val="21"/>
                <w:szCs w:val="21"/>
              </w:rPr>
              <w:t>优秀为最后两档</w:t>
            </w:r>
            <w:r>
              <w:rPr>
                <w:rFonts w:hint="eastAsia" w:ascii="方正仿宋简体" w:hAnsi="方正仿宋简体" w:eastAsia="方正仿宋简体" w:cs="方正仿宋简体"/>
                <w:color w:val="000000"/>
                <w:sz w:val="21"/>
                <w:szCs w:val="21"/>
                <w:lang w:eastAsia="zh-CN"/>
              </w:rPr>
              <w:t>。</w:t>
            </w:r>
          </w:p>
          <w:p w14:paraId="4B73E91F">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lang w:val="en-US" w:eastAsia="zh-CN"/>
              </w:rPr>
            </w:pPr>
            <w:r>
              <w:rPr>
                <w:rFonts w:hint="eastAsia" w:ascii="方正仿宋简体" w:hAnsi="方正仿宋简体" w:eastAsia="方正仿宋简体" w:cs="方正仿宋简体"/>
                <w:color w:val="000000"/>
                <w:sz w:val="21"/>
                <w:szCs w:val="21"/>
                <w:lang w:val="en-US" w:eastAsia="zh-CN"/>
              </w:rPr>
              <w:t>3.所配备的团队人员中，除具备造价工程师证书外（不计分），具备具有工业和信息化部教育与考试中心颁发的软件工程造价师证书的，每个得2分，计算机技术与软件专业技术资格（水平）的信息系统项目管理师证书，，每提供一个证书得2分；以上，最高得10分，同一人员具备多个证书的可重复计分。</w:t>
            </w:r>
          </w:p>
          <w:p w14:paraId="2CD170E4">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lang w:val="en-US" w:eastAsia="zh-CN"/>
              </w:rPr>
            </w:pPr>
            <w:r>
              <w:rPr>
                <w:rFonts w:hint="eastAsia" w:ascii="方正仿宋简体" w:hAnsi="方正仿宋简体" w:eastAsia="方正仿宋简体" w:cs="方正仿宋简体"/>
                <w:color w:val="000000"/>
                <w:sz w:val="21"/>
                <w:szCs w:val="21"/>
                <w:lang w:val="en-US" w:eastAsia="zh-CN"/>
              </w:rPr>
              <w:t>注：提供相关证书扫描件和投标人为拟派项目组成员连续缴纳近6个月的社保证明材料并加盖单位公章。</w:t>
            </w:r>
          </w:p>
          <w:p w14:paraId="4AAC34A6">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lang w:val="en-US" w:eastAsia="zh-CN"/>
              </w:rPr>
            </w:pPr>
            <w:r>
              <w:rPr>
                <w:rFonts w:hint="eastAsia" w:ascii="方正仿宋简体" w:hAnsi="方正仿宋简体" w:eastAsia="方正仿宋简体" w:cs="方正仿宋简体"/>
                <w:color w:val="000000"/>
                <w:sz w:val="21"/>
                <w:szCs w:val="21"/>
                <w:lang w:val="en-US" w:eastAsia="zh-CN"/>
              </w:rPr>
              <w:t>4，近两年来，每承担过一项市级或市级以上信息化类项目审计服务的得5分 ，满分10分。</w:t>
            </w:r>
          </w:p>
          <w:p w14:paraId="5D637D45">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lang w:val="en-US" w:eastAsia="zh-CN"/>
              </w:rPr>
            </w:pPr>
            <w:r>
              <w:rPr>
                <w:rFonts w:hint="eastAsia" w:ascii="方正仿宋简体" w:hAnsi="方正仿宋简体" w:eastAsia="方正仿宋简体" w:cs="方正仿宋简体"/>
                <w:color w:val="000000"/>
                <w:sz w:val="21"/>
                <w:szCs w:val="21"/>
                <w:lang w:val="en-US" w:eastAsia="zh-CN"/>
              </w:rPr>
              <w:t>注：提供合同（加盖公章）及审计报告复印件，未提供不得分。</w:t>
            </w:r>
          </w:p>
          <w:p w14:paraId="44D0FF32">
            <w:pPr>
              <w:keepNext w:val="0"/>
              <w:keepLines w:val="0"/>
              <w:pageBreakBefore w:val="0"/>
              <w:kinsoku/>
              <w:wordWrap/>
              <w:overflowPunct/>
              <w:topLinePunct w:val="0"/>
              <w:bidi w:val="0"/>
              <w:adjustRightInd/>
              <w:snapToGrid/>
              <w:spacing w:line="300" w:lineRule="exact"/>
              <w:ind w:firstLine="420" w:firstLineChars="200"/>
              <w:textAlignment w:val="auto"/>
              <w:rPr>
                <w:rFonts w:hint="eastAsia" w:ascii="方正仿宋简体" w:hAnsi="方正仿宋简体" w:eastAsia="方正仿宋简体" w:cs="方正仿宋简体"/>
                <w:color w:val="000000"/>
                <w:sz w:val="21"/>
                <w:szCs w:val="21"/>
                <w:lang w:val="en-US" w:eastAsia="zh-CN"/>
              </w:rPr>
            </w:pPr>
            <w:r>
              <w:rPr>
                <w:rFonts w:hint="eastAsia" w:ascii="方正仿宋简体" w:hAnsi="方正仿宋简体" w:eastAsia="方正仿宋简体" w:cs="方正仿宋简体"/>
                <w:color w:val="000000"/>
                <w:sz w:val="21"/>
                <w:szCs w:val="21"/>
                <w:lang w:val="en-US" w:eastAsia="zh-CN"/>
              </w:rPr>
              <w:t>5.投标人具有工程咨询单位甲级专业资信证书（或工程咨询单位甲级综合资信）的，得 10 分；具有工程咨询单位乙级专业资信证书的，得 5 分。最高 10 分。</w:t>
            </w:r>
          </w:p>
          <w:p w14:paraId="4B4BEE9C">
            <w:pPr>
              <w:keepNext w:val="0"/>
              <w:keepLines w:val="0"/>
              <w:pageBreakBefore w:val="0"/>
              <w:kinsoku/>
              <w:wordWrap/>
              <w:overflowPunct/>
              <w:topLinePunct w:val="0"/>
              <w:bidi w:val="0"/>
              <w:adjustRightInd/>
              <w:snapToGrid/>
              <w:spacing w:line="300" w:lineRule="exact"/>
              <w:ind w:firstLine="420" w:firstLineChars="200"/>
              <w:textAlignment w:val="auto"/>
              <w:rPr>
                <w:rFonts w:hint="eastAsia"/>
                <w:lang w:val="en-US" w:eastAsia="zh-CN"/>
              </w:rPr>
            </w:pPr>
            <w:r>
              <w:rPr>
                <w:rFonts w:hint="eastAsia" w:ascii="方正仿宋简体" w:hAnsi="方正仿宋简体" w:eastAsia="方正仿宋简体" w:cs="方正仿宋简体"/>
                <w:color w:val="000000"/>
                <w:sz w:val="21"/>
                <w:szCs w:val="21"/>
                <w:lang w:val="en-US" w:eastAsia="zh-CN"/>
              </w:rPr>
              <w:t>注：提供证书复印件并加盖公章</w:t>
            </w:r>
            <w:r>
              <w:rPr>
                <w:rFonts w:hint="eastAsia" w:ascii="方正仿宋简体" w:hAnsi="方正仿宋简体" w:eastAsia="方正仿宋简体" w:cs="方正仿宋简体"/>
                <w:color w:val="000000"/>
                <w:sz w:val="21"/>
                <w:szCs w:val="21"/>
              </w:rPr>
              <w:t>。</w:t>
            </w:r>
          </w:p>
        </w:tc>
      </w:tr>
      <w:tr w14:paraId="18D6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81" w:type="dxa"/>
            <w:vAlign w:val="center"/>
          </w:tcPr>
          <w:p w14:paraId="3E3B81CC">
            <w:pPr>
              <w:spacing w:line="400" w:lineRule="exact"/>
              <w:jc w:val="center"/>
              <w:rPr>
                <w:rFonts w:hint="eastAsia" w:eastAsiaTheme="minorEastAsia"/>
                <w:color w:val="auto"/>
                <w:sz w:val="24"/>
                <w:lang w:val="en-US" w:eastAsia="zh-CN"/>
              </w:rPr>
            </w:pPr>
            <w:r>
              <w:rPr>
                <w:rFonts w:hint="eastAsia"/>
                <w:color w:val="auto"/>
                <w:sz w:val="24"/>
                <w:lang w:val="en-US" w:eastAsia="zh-CN"/>
              </w:rPr>
              <w:t>2</w:t>
            </w:r>
          </w:p>
        </w:tc>
        <w:tc>
          <w:tcPr>
            <w:tcW w:w="960" w:type="dxa"/>
            <w:shd w:val="clear" w:color="auto" w:fill="auto"/>
            <w:vAlign w:val="center"/>
          </w:tcPr>
          <w:p w14:paraId="33740EFC">
            <w:pPr>
              <w:spacing w:line="276" w:lineRule="auto"/>
              <w:jc w:val="center"/>
              <w:rPr>
                <w:rFonts w:hint="eastAsia"/>
                <w:color w:val="auto"/>
                <w:sz w:val="22"/>
              </w:rPr>
            </w:pPr>
            <w:r>
              <w:rPr>
                <w:rFonts w:hint="eastAsia"/>
                <w:color w:val="auto"/>
                <w:sz w:val="22"/>
              </w:rPr>
              <w:t>商务部分</w:t>
            </w:r>
          </w:p>
          <w:p w14:paraId="2B301F10">
            <w:pPr>
              <w:spacing w:line="276" w:lineRule="auto"/>
              <w:jc w:val="center"/>
              <w:rPr>
                <w:rFonts w:asciiTheme="minorHAnsi" w:hAnsiTheme="minorHAnsi" w:eastAsiaTheme="minorEastAsia" w:cstheme="minorBidi"/>
                <w:color w:val="auto"/>
                <w:kern w:val="2"/>
                <w:sz w:val="22"/>
                <w:szCs w:val="24"/>
                <w:lang w:val="en-US" w:eastAsia="zh-CN" w:bidi="ar-SA"/>
              </w:rPr>
            </w:pPr>
            <w:r>
              <w:rPr>
                <w:rFonts w:hint="eastAsia"/>
                <w:color w:val="auto"/>
                <w:sz w:val="22"/>
              </w:rPr>
              <w:t>（</w:t>
            </w:r>
            <w:r>
              <w:rPr>
                <w:rFonts w:hint="eastAsia"/>
                <w:color w:val="auto"/>
                <w:sz w:val="22"/>
                <w:lang w:val="en-US" w:eastAsia="zh-CN"/>
              </w:rPr>
              <w:t>1</w:t>
            </w:r>
            <w:r>
              <w:rPr>
                <w:rFonts w:hint="eastAsia"/>
                <w:color w:val="auto"/>
                <w:sz w:val="22"/>
              </w:rPr>
              <w:t>0分）</w:t>
            </w:r>
          </w:p>
        </w:tc>
        <w:tc>
          <w:tcPr>
            <w:tcW w:w="1168" w:type="dxa"/>
            <w:shd w:val="clear" w:color="auto" w:fill="auto"/>
            <w:vAlign w:val="center"/>
          </w:tcPr>
          <w:p w14:paraId="017012F6">
            <w:pPr>
              <w:spacing w:line="276" w:lineRule="auto"/>
              <w:jc w:val="center"/>
              <w:rPr>
                <w:rFonts w:hint="eastAsia" w:asciiTheme="minorHAnsi" w:hAnsiTheme="minorHAnsi" w:eastAsiaTheme="minorEastAsia" w:cstheme="minorBidi"/>
                <w:color w:val="auto"/>
                <w:kern w:val="2"/>
                <w:sz w:val="22"/>
                <w:szCs w:val="24"/>
                <w:lang w:val="en-US" w:eastAsia="zh-CN" w:bidi="ar-SA"/>
              </w:rPr>
            </w:pPr>
            <w:r>
              <w:rPr>
                <w:rFonts w:hint="eastAsia"/>
                <w:color w:val="auto"/>
                <w:sz w:val="22"/>
              </w:rPr>
              <w:t>投标报价（</w:t>
            </w:r>
            <w:r>
              <w:rPr>
                <w:rFonts w:hint="eastAsia"/>
                <w:color w:val="auto"/>
                <w:sz w:val="22"/>
                <w:lang w:val="en-US" w:eastAsia="zh-CN"/>
              </w:rPr>
              <w:t>1</w:t>
            </w:r>
            <w:r>
              <w:rPr>
                <w:rFonts w:hint="eastAsia"/>
                <w:color w:val="auto"/>
                <w:sz w:val="22"/>
              </w:rPr>
              <w:t>0分）</w:t>
            </w:r>
          </w:p>
        </w:tc>
        <w:tc>
          <w:tcPr>
            <w:tcW w:w="5533" w:type="dxa"/>
            <w:shd w:val="clear" w:color="auto" w:fill="auto"/>
            <w:vAlign w:val="center"/>
          </w:tcPr>
          <w:p w14:paraId="2F20B7A8">
            <w:pPr>
              <w:adjustRightInd w:val="0"/>
              <w:snapToGrid w:val="0"/>
              <w:spacing w:line="360" w:lineRule="auto"/>
              <w:rPr>
                <w:rFonts w:hint="eastAsia" w:asciiTheme="minorHAnsi" w:hAnsiTheme="minorHAnsi" w:eastAsiaTheme="minorEastAsia" w:cstheme="minorBidi"/>
                <w:color w:val="auto"/>
                <w:kern w:val="2"/>
                <w:sz w:val="22"/>
                <w:szCs w:val="24"/>
                <w:lang w:val="en-US" w:eastAsia="zh-CN" w:bidi="ar-SA"/>
              </w:rPr>
            </w:pPr>
            <w:r>
              <w:rPr>
                <w:rFonts w:hint="eastAsia" w:ascii="方正仿宋简体" w:hAnsi="方正仿宋简体" w:eastAsia="方正仿宋简体" w:cs="方正仿宋简体"/>
                <w:color w:val="000000"/>
                <w:sz w:val="21"/>
                <w:szCs w:val="21"/>
                <w:lang w:val="en-US" w:eastAsia="zh-CN"/>
              </w:rPr>
              <w:t>价格标经评审满足本文件要求且在预算范围内的投标人的总报价中，最低价格为评标基准价格，得满分；其他投标人的价格分统一按照下列公式计算： 投标报价得分＝（评标基准价/投标报价）× 价格分分值（取小数点后两位）。</w:t>
            </w:r>
          </w:p>
        </w:tc>
      </w:tr>
      <w:tr w14:paraId="5656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41" w:type="dxa"/>
            <w:gridSpan w:val="2"/>
            <w:vAlign w:val="center"/>
          </w:tcPr>
          <w:p w14:paraId="6E90D56A">
            <w:pPr>
              <w:spacing w:line="400" w:lineRule="exact"/>
              <w:jc w:val="center"/>
              <w:rPr>
                <w:color w:val="auto"/>
                <w:sz w:val="22"/>
              </w:rPr>
            </w:pPr>
            <w:r>
              <w:rPr>
                <w:rFonts w:hint="eastAsia"/>
                <w:color w:val="auto"/>
                <w:sz w:val="24"/>
              </w:rPr>
              <w:t>合计</w:t>
            </w:r>
          </w:p>
        </w:tc>
        <w:tc>
          <w:tcPr>
            <w:tcW w:w="1168" w:type="dxa"/>
            <w:vAlign w:val="center"/>
          </w:tcPr>
          <w:p w14:paraId="0BC17B79">
            <w:pPr>
              <w:spacing w:line="400" w:lineRule="exact"/>
              <w:jc w:val="center"/>
              <w:rPr>
                <w:color w:val="auto"/>
                <w:sz w:val="22"/>
              </w:rPr>
            </w:pPr>
            <w:r>
              <w:rPr>
                <w:color w:val="auto"/>
                <w:sz w:val="22"/>
              </w:rPr>
              <w:t>100分</w:t>
            </w:r>
          </w:p>
        </w:tc>
        <w:tc>
          <w:tcPr>
            <w:tcW w:w="5533" w:type="dxa"/>
          </w:tcPr>
          <w:p w14:paraId="2AAA3950">
            <w:pPr>
              <w:adjustRightInd w:val="0"/>
              <w:snapToGrid w:val="0"/>
              <w:rPr>
                <w:color w:val="auto"/>
                <w:sz w:val="22"/>
              </w:rPr>
            </w:pPr>
          </w:p>
        </w:tc>
      </w:tr>
    </w:tbl>
    <w:p w14:paraId="28B54DA0">
      <w:pPr>
        <w:rPr>
          <w:color w:val="auto"/>
        </w:rPr>
      </w:pPr>
    </w:p>
    <w:p w14:paraId="611806A9">
      <w:pPr>
        <w:rPr>
          <w:rFonts w:hint="eastAsia"/>
          <w:color w:val="auto"/>
          <w:sz w:val="28"/>
          <w:szCs w:val="28"/>
          <w:lang w:val="en-US" w:eastAsia="zh-CN"/>
        </w:rPr>
      </w:pPr>
      <w:r>
        <w:rPr>
          <w:rFonts w:hint="eastAsia"/>
          <w:color w:val="auto"/>
          <w:sz w:val="28"/>
          <w:szCs w:val="28"/>
          <w:lang w:val="en-US" w:eastAsia="zh-CN"/>
        </w:rPr>
        <w:t>注：各单位分值以各评委打分后的算术平均分为依据。</w:t>
      </w:r>
    </w:p>
    <w:p w14:paraId="7EE815B3">
      <w:pPr>
        <w:pStyle w:val="5"/>
        <w:rPr>
          <w:rFonts w:hint="eastAsia"/>
          <w:color w:val="auto"/>
          <w:sz w:val="28"/>
          <w:szCs w:val="28"/>
          <w:lang w:val="en-US" w:eastAsia="zh-CN"/>
        </w:rPr>
      </w:pPr>
    </w:p>
    <w:p w14:paraId="2D5C387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61ED0"/>
    <w:rsid w:val="33B6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2"/>
    <w:basedOn w:val="3"/>
    <w:qFormat/>
    <w:uiPriority w:val="0"/>
    <w:pPr>
      <w:spacing w:line="360" w:lineRule="auto"/>
      <w:ind w:firstLine="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2025-03-26T01:18:00Z</dcterms:created>
  <dc:creator>起风了</dc:creator>
  <cp:lastModifiedBy>起风了</cp:lastModifiedBy>
  <dcterms:modified xsi:type="dcterms:W3CDTF">2025-03-26T01:21:46Z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AB7DFE0D15864C7293EAFBEA603ACD5F_11</vt:lpwstr>
  </property>
  <property fmtid="{D5CDD505-2E9C-101B-9397-08002B2CF9AE}" pid="4" name="KSOTemplateDocerSaveRecord">
    <vt:lpwstr>eyJoZGlkIjoiNGQ3NDY2NjZmOTc5ZTkxZmYxNTQ3M2ZjNDkyOWQ2OWUiLCJ1c2VySWQiOiI0MjgwMTE3ODAifQ==</vt:lpwstr>
  </property>
</Properties>
</file>